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BEB7F" w14:textId="77777777" w:rsidR="006E49D6" w:rsidRPr="00C4520F" w:rsidRDefault="006E49D6" w:rsidP="006E49D6">
      <w:pPr>
        <w:pStyle w:val="Header"/>
        <w:tabs>
          <w:tab w:val="clear" w:pos="4153"/>
          <w:tab w:val="left" w:pos="1980"/>
          <w:tab w:val="center" w:pos="3600"/>
        </w:tabs>
        <w:rPr>
          <w:rFonts w:ascii="Arial" w:hAnsi="Arial" w:cs="Arial"/>
          <w:sz w:val="16"/>
          <w:szCs w:val="16"/>
        </w:rPr>
      </w:pPr>
      <w:r>
        <w:rPr>
          <w:noProof/>
          <w:lang w:eastAsia="en-GB"/>
        </w:rPr>
        <mc:AlternateContent>
          <mc:Choice Requires="wps">
            <w:drawing>
              <wp:anchor distT="0" distB="0" distL="114300" distR="114300" simplePos="0" relativeHeight="251659264" behindDoc="0" locked="0" layoutInCell="1" allowOverlap="1" wp14:anchorId="10F2EEC3" wp14:editId="52BE5DF8">
                <wp:simplePos x="0" y="0"/>
                <wp:positionH relativeFrom="column">
                  <wp:posOffset>3771900</wp:posOffset>
                </wp:positionH>
                <wp:positionV relativeFrom="paragraph">
                  <wp:posOffset>-106680</wp:posOffset>
                </wp:positionV>
                <wp:extent cx="2030730" cy="558165"/>
                <wp:effectExtent l="0" t="0" r="0" b="0"/>
                <wp:wrapNone/>
                <wp:docPr id="1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7D699" w14:textId="77777777" w:rsidR="006E49D6" w:rsidRDefault="006E49D6" w:rsidP="006E49D6">
                            <w:r>
                              <w:rPr>
                                <w:noProof/>
                                <w:lang w:eastAsia="en-GB"/>
                              </w:rPr>
                              <w:drawing>
                                <wp:inline distT="0" distB="0" distL="0" distR="0" wp14:anchorId="51833E4B" wp14:editId="32F9B750">
                                  <wp:extent cx="1409459" cy="452805"/>
                                  <wp:effectExtent l="0" t="0" r="635" b="444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15049" cy="454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2EEC3" id="_x0000_t202" coordsize="21600,21600" o:spt="202" path="m,l,21600r21600,l21600,xe">
                <v:stroke joinstyle="miter"/>
                <v:path gradientshapeok="t" o:connecttype="rect"/>
              </v:shapetype>
              <v:shape id="Text Box 8" o:spid="_x0000_s1026" type="#_x0000_t202" style="position:absolute;margin-left:297pt;margin-top:-8.4pt;width:159.9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" stroked="f">
                <v:textbox>
                  <w:txbxContent>
                    <w:p w14:paraId="6C27D699" w14:textId="77777777" w:rsidR="006E49D6" w:rsidRDefault="006E49D6" w:rsidP="006E49D6">
                      <w:r>
                        <w:rPr>
                          <w:noProof/>
                          <w:lang w:eastAsia="en-GB"/>
                        </w:rPr>
                        <w:drawing>
                          <wp:inline distT="0" distB="0" distL="0" distR="0" wp14:anchorId="51833E4B" wp14:editId="32F9B750">
                            <wp:extent cx="1409459" cy="452805"/>
                            <wp:effectExtent l="0" t="0" r="635" b="444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15049" cy="454601"/>
                                    </a:xfrm>
                                    <a:prstGeom prst="rect">
                                      <a:avLst/>
                                    </a:prstGeom>
                                  </pic:spPr>
                                </pic:pic>
                              </a:graphicData>
                            </a:graphic>
                          </wp:inline>
                        </w:drawing>
                      </w:r>
                    </w:p>
                  </w:txbxContent>
                </v:textbox>
              </v:shape>
            </w:pict>
          </mc:Fallback>
        </mc:AlternateContent>
      </w:r>
      <w:r w:rsidRPr="00C4520F">
        <w:rPr>
          <w:rFonts w:ascii="Arial" w:hAnsi="Arial" w:cs="Arial"/>
          <w:sz w:val="14"/>
          <w:szCs w:val="14"/>
        </w:rPr>
        <w:t>Page 1 of 1</w:t>
      </w:r>
      <w:r w:rsidRPr="00C4520F">
        <w:rPr>
          <w:rFonts w:ascii="Arial" w:hAnsi="Arial" w:cs="Arial"/>
          <w:sz w:val="16"/>
          <w:szCs w:val="16"/>
        </w:rPr>
        <w:t xml:space="preserve"> </w:t>
      </w:r>
      <w:r w:rsidRPr="00C4520F">
        <w:rPr>
          <w:rFonts w:ascii="Arial" w:hAnsi="Arial" w:cs="Arial"/>
          <w:sz w:val="16"/>
          <w:szCs w:val="16"/>
        </w:rPr>
        <w:tab/>
      </w:r>
      <w:r w:rsidRPr="00C4520F">
        <w:rPr>
          <w:rFonts w:ascii="Arial" w:hAnsi="Arial" w:cs="Arial"/>
          <w:b/>
          <w:bCs/>
        </w:rPr>
        <w:tab/>
        <w:t>HEALTH &amp; SAFETY POLICY</w:t>
      </w:r>
      <w:r w:rsidRPr="00C4520F">
        <w:rPr>
          <w:rFonts w:ascii="Arial" w:hAnsi="Arial" w:cs="Arial"/>
          <w:b/>
          <w:bCs/>
          <w:sz w:val="20"/>
          <w:szCs w:val="20"/>
        </w:rPr>
        <w:tab/>
      </w:r>
    </w:p>
    <w:p w14:paraId="5CE6276C" w14:textId="0088AA4C" w:rsidR="006E49D6" w:rsidRPr="00C4520F" w:rsidRDefault="005A5C8E" w:rsidP="006E49D6">
      <w:pPr>
        <w:pStyle w:val="Header"/>
        <w:tabs>
          <w:tab w:val="clear" w:pos="4153"/>
          <w:tab w:val="left" w:pos="1980"/>
          <w:tab w:val="center" w:pos="3600"/>
        </w:tabs>
        <w:rPr>
          <w:rFonts w:ascii="Arial" w:hAnsi="Arial" w:cs="Arial"/>
          <w:sz w:val="15"/>
          <w:szCs w:val="15"/>
        </w:rPr>
      </w:pPr>
      <w:r>
        <w:rPr>
          <w:rFonts w:ascii="Arial" w:hAnsi="Arial" w:cs="Arial"/>
          <w:sz w:val="14"/>
          <w:szCs w:val="14"/>
        </w:rPr>
        <w:t>Issue 2</w:t>
      </w:r>
      <w:r w:rsidR="00531DE8">
        <w:rPr>
          <w:rFonts w:ascii="Arial" w:hAnsi="Arial" w:cs="Arial"/>
          <w:sz w:val="14"/>
          <w:szCs w:val="14"/>
        </w:rPr>
        <w:t>6</w:t>
      </w:r>
      <w:r w:rsidR="006E49D6" w:rsidRPr="00C4520F">
        <w:rPr>
          <w:rFonts w:ascii="Arial" w:hAnsi="Arial" w:cs="Arial"/>
          <w:sz w:val="16"/>
          <w:szCs w:val="16"/>
        </w:rPr>
        <w:tab/>
        <w:t xml:space="preserve">                         </w:t>
      </w:r>
      <w:r w:rsidR="006E49D6" w:rsidRPr="00C4520F">
        <w:rPr>
          <w:rFonts w:ascii="Arial" w:hAnsi="Arial" w:cs="Arial"/>
          <w:sz w:val="14"/>
          <w:szCs w:val="14"/>
        </w:rPr>
        <w:tab/>
        <w:t>Section 1.0</w:t>
      </w:r>
    </w:p>
    <w:p w14:paraId="04835499" w14:textId="2D858D1B" w:rsidR="006E49D6" w:rsidRPr="00C4520F" w:rsidRDefault="006E49D6" w:rsidP="006E49D6">
      <w:pPr>
        <w:tabs>
          <w:tab w:val="center" w:pos="3600"/>
        </w:tabs>
        <w:rPr>
          <w:b/>
          <w:bCs/>
        </w:rPr>
      </w:pPr>
      <w:r w:rsidRPr="00C4520F">
        <w:rPr>
          <w:rFonts w:ascii="Arial" w:hAnsi="Arial" w:cs="Arial"/>
          <w:sz w:val="14"/>
          <w:szCs w:val="14"/>
        </w:rPr>
        <w:t>Date: 1</w:t>
      </w:r>
      <w:r w:rsidR="005A5C8E">
        <w:rPr>
          <w:rFonts w:ascii="Arial" w:hAnsi="Arial" w:cs="Arial"/>
          <w:sz w:val="14"/>
          <w:szCs w:val="14"/>
        </w:rPr>
        <w:t>/</w:t>
      </w:r>
      <w:r w:rsidR="00384C63">
        <w:rPr>
          <w:rFonts w:ascii="Arial" w:hAnsi="Arial" w:cs="Arial"/>
          <w:sz w:val="14"/>
          <w:szCs w:val="14"/>
        </w:rPr>
        <w:t>2</w:t>
      </w:r>
      <w:r w:rsidR="00531DE8">
        <w:rPr>
          <w:rFonts w:ascii="Arial" w:hAnsi="Arial" w:cs="Arial"/>
          <w:sz w:val="14"/>
          <w:szCs w:val="14"/>
        </w:rPr>
        <w:t>3</w:t>
      </w:r>
      <w:r w:rsidRPr="00C4520F">
        <w:rPr>
          <w:rFonts w:ascii="Arial" w:hAnsi="Arial" w:cs="Arial"/>
          <w:sz w:val="14"/>
          <w:szCs w:val="14"/>
        </w:rPr>
        <w:t xml:space="preserve">                                                    </w:t>
      </w:r>
      <w:r w:rsidRPr="00C4520F">
        <w:rPr>
          <w:rFonts w:ascii="Arial" w:hAnsi="Arial" w:cs="Arial"/>
          <w:b/>
          <w:bCs/>
          <w:sz w:val="14"/>
          <w:szCs w:val="14"/>
        </w:rPr>
        <w:tab/>
        <w:t>POLICY STATEMENT</w:t>
      </w:r>
    </w:p>
    <w:p w14:paraId="3D511672" w14:textId="77777777" w:rsidR="006E49D6" w:rsidRPr="00C4520F" w:rsidRDefault="006E49D6" w:rsidP="006E49D6">
      <w:pPr>
        <w:rPr>
          <w:rFonts w:ascii="Arial" w:hAnsi="Arial" w:cs="Arial"/>
        </w:rPr>
      </w:pPr>
    </w:p>
    <w:p w14:paraId="6AD6FB56" w14:textId="77777777" w:rsidR="006E49D6" w:rsidRDefault="006E49D6" w:rsidP="006E49D6">
      <w:pPr>
        <w:tabs>
          <w:tab w:val="left" w:pos="1843"/>
        </w:tabs>
        <w:rPr>
          <w:rFonts w:ascii="Arial" w:hAnsi="Arial" w:cs="Arial"/>
        </w:rPr>
      </w:pPr>
    </w:p>
    <w:p w14:paraId="54750FF9" w14:textId="77777777" w:rsidR="006E49D6" w:rsidRDefault="006E49D6" w:rsidP="006E49D6">
      <w:pPr>
        <w:tabs>
          <w:tab w:val="left" w:pos="1843"/>
        </w:tabs>
        <w:rPr>
          <w:rFonts w:ascii="Arial" w:hAnsi="Arial" w:cs="Arial"/>
        </w:rPr>
      </w:pPr>
    </w:p>
    <w:p w14:paraId="29F29581" w14:textId="77777777" w:rsidR="006E49D6" w:rsidRPr="00C4520F" w:rsidRDefault="006E49D6" w:rsidP="006E49D6">
      <w:pPr>
        <w:tabs>
          <w:tab w:val="left" w:pos="1843"/>
        </w:tabs>
        <w:rPr>
          <w:rFonts w:ascii="Arial" w:hAnsi="Arial" w:cs="Arial"/>
        </w:rPr>
      </w:pPr>
    </w:p>
    <w:p w14:paraId="5A5E4BBB" w14:textId="77777777" w:rsidR="006E49D6" w:rsidRPr="00C4520F" w:rsidRDefault="006E49D6" w:rsidP="006E49D6">
      <w:pPr>
        <w:tabs>
          <w:tab w:val="left" w:pos="1843"/>
        </w:tabs>
        <w:rPr>
          <w:rFonts w:ascii="Arial" w:hAnsi="Arial" w:cs="Arial"/>
        </w:rPr>
      </w:pPr>
      <w:r w:rsidRPr="00C4520F">
        <w:rPr>
          <w:rFonts w:ascii="Arial" w:hAnsi="Arial" w:cs="Arial"/>
        </w:rPr>
        <w:t>This health and safety policy applies to the activities of T. Ward &amp; Son Ltd. trading as Wardgroup and incorporating the following divisions:</w:t>
      </w:r>
    </w:p>
    <w:p w14:paraId="6E8C24EA" w14:textId="77777777" w:rsidR="006E49D6" w:rsidRPr="00C4520F" w:rsidRDefault="006E49D6" w:rsidP="006E49D6">
      <w:pPr>
        <w:tabs>
          <w:tab w:val="left" w:pos="1843"/>
        </w:tabs>
        <w:rPr>
          <w:rFonts w:ascii="Arial" w:hAnsi="Arial" w:cs="Arial"/>
        </w:rPr>
      </w:pPr>
    </w:p>
    <w:p w14:paraId="11711900" w14:textId="77777777" w:rsidR="006E49D6" w:rsidRPr="00C4520F" w:rsidRDefault="006E49D6" w:rsidP="006E49D6">
      <w:pPr>
        <w:tabs>
          <w:tab w:val="left" w:pos="1843"/>
        </w:tabs>
        <w:rPr>
          <w:rFonts w:ascii="Arial" w:hAnsi="Arial" w:cs="Arial"/>
        </w:rPr>
      </w:pPr>
      <w:r w:rsidRPr="00C4520F">
        <w:rPr>
          <w:rFonts w:ascii="Arial" w:hAnsi="Arial" w:cs="Arial"/>
        </w:rPr>
        <w:tab/>
      </w:r>
      <w:r w:rsidRPr="00C4520F">
        <w:rPr>
          <w:rFonts w:ascii="Arial" w:hAnsi="Arial" w:cs="Arial"/>
        </w:rPr>
        <w:tab/>
      </w:r>
      <w:r w:rsidRPr="00C4520F">
        <w:rPr>
          <w:rFonts w:ascii="Arial" w:hAnsi="Arial" w:cs="Arial"/>
        </w:rPr>
        <w:tab/>
        <w:t>Wardgroup Decorating Centre</w:t>
      </w:r>
    </w:p>
    <w:p w14:paraId="3AD8CF5F" w14:textId="77777777" w:rsidR="006E49D6" w:rsidRPr="00C4520F" w:rsidRDefault="006E49D6" w:rsidP="006E49D6">
      <w:pPr>
        <w:tabs>
          <w:tab w:val="left" w:pos="1843"/>
        </w:tabs>
        <w:rPr>
          <w:rFonts w:ascii="Arial" w:hAnsi="Arial" w:cs="Arial"/>
        </w:rPr>
      </w:pPr>
      <w:r w:rsidRPr="00C4520F">
        <w:rPr>
          <w:rFonts w:ascii="Arial" w:hAnsi="Arial" w:cs="Arial"/>
        </w:rPr>
        <w:tab/>
      </w:r>
      <w:r w:rsidRPr="00C4520F">
        <w:rPr>
          <w:rFonts w:ascii="Arial" w:hAnsi="Arial" w:cs="Arial"/>
        </w:rPr>
        <w:tab/>
      </w:r>
      <w:r w:rsidRPr="00C4520F">
        <w:rPr>
          <w:rFonts w:ascii="Arial" w:hAnsi="Arial" w:cs="Arial"/>
        </w:rPr>
        <w:tab/>
        <w:t>Wardgroup Plumbing &amp; Heating</w:t>
      </w:r>
    </w:p>
    <w:p w14:paraId="2A983619" w14:textId="77777777" w:rsidR="006E49D6" w:rsidRPr="00C4520F" w:rsidRDefault="006E49D6" w:rsidP="006E49D6">
      <w:pPr>
        <w:tabs>
          <w:tab w:val="left" w:pos="1843"/>
        </w:tabs>
        <w:rPr>
          <w:rFonts w:ascii="Arial" w:hAnsi="Arial" w:cs="Arial"/>
        </w:rPr>
      </w:pPr>
      <w:r w:rsidRPr="00C4520F">
        <w:rPr>
          <w:rFonts w:ascii="Arial" w:hAnsi="Arial" w:cs="Arial"/>
        </w:rPr>
        <w:tab/>
      </w:r>
      <w:r w:rsidRPr="00C4520F">
        <w:rPr>
          <w:rFonts w:ascii="Arial" w:hAnsi="Arial" w:cs="Arial"/>
        </w:rPr>
        <w:tab/>
      </w:r>
      <w:r w:rsidRPr="00C4520F">
        <w:rPr>
          <w:rFonts w:ascii="Arial" w:hAnsi="Arial" w:cs="Arial"/>
        </w:rPr>
        <w:tab/>
        <w:t>Wardgroup Painting &amp; Decorating</w:t>
      </w:r>
    </w:p>
    <w:p w14:paraId="2C60149B" w14:textId="77777777" w:rsidR="006E49D6" w:rsidRPr="00C4520F" w:rsidRDefault="006E49D6" w:rsidP="006E49D6">
      <w:pPr>
        <w:tabs>
          <w:tab w:val="left" w:pos="1843"/>
        </w:tabs>
        <w:rPr>
          <w:rFonts w:ascii="Arial" w:hAnsi="Arial" w:cs="Arial"/>
        </w:rPr>
      </w:pPr>
      <w:r w:rsidRPr="00C4520F">
        <w:rPr>
          <w:rFonts w:ascii="Arial" w:hAnsi="Arial" w:cs="Arial"/>
        </w:rPr>
        <w:tab/>
      </w:r>
      <w:r w:rsidRPr="00C4520F">
        <w:rPr>
          <w:rFonts w:ascii="Arial" w:hAnsi="Arial" w:cs="Arial"/>
        </w:rPr>
        <w:tab/>
      </w:r>
      <w:r w:rsidRPr="00C4520F">
        <w:rPr>
          <w:rFonts w:ascii="Arial" w:hAnsi="Arial" w:cs="Arial"/>
        </w:rPr>
        <w:tab/>
        <w:t>Wardgroup Glass</w:t>
      </w:r>
      <w:r>
        <w:rPr>
          <w:rFonts w:ascii="Arial" w:hAnsi="Arial" w:cs="Arial"/>
        </w:rPr>
        <w:t xml:space="preserve"> &amp; Glazing</w:t>
      </w:r>
      <w:r w:rsidRPr="00C4520F">
        <w:rPr>
          <w:rFonts w:ascii="Arial" w:hAnsi="Arial" w:cs="Arial"/>
        </w:rPr>
        <w:t xml:space="preserve"> </w:t>
      </w:r>
    </w:p>
    <w:p w14:paraId="7D0348A2" w14:textId="77777777" w:rsidR="006E49D6" w:rsidRPr="00C4520F" w:rsidRDefault="006E49D6" w:rsidP="006E49D6">
      <w:pPr>
        <w:tabs>
          <w:tab w:val="left" w:pos="1843"/>
        </w:tabs>
        <w:rPr>
          <w:rFonts w:ascii="Arial" w:hAnsi="Arial" w:cs="Arial"/>
        </w:rPr>
      </w:pPr>
      <w:r w:rsidRPr="00C4520F">
        <w:rPr>
          <w:rFonts w:ascii="Arial" w:hAnsi="Arial" w:cs="Arial"/>
        </w:rPr>
        <w:tab/>
      </w:r>
      <w:r w:rsidRPr="00C4520F">
        <w:rPr>
          <w:rFonts w:ascii="Arial" w:hAnsi="Arial" w:cs="Arial"/>
        </w:rPr>
        <w:tab/>
      </w:r>
      <w:r w:rsidRPr="00C4520F">
        <w:rPr>
          <w:rFonts w:ascii="Arial" w:hAnsi="Arial" w:cs="Arial"/>
        </w:rPr>
        <w:tab/>
        <w:t xml:space="preserve">Furness Glass </w:t>
      </w:r>
    </w:p>
    <w:p w14:paraId="02067640" w14:textId="77777777" w:rsidR="006E49D6" w:rsidRPr="00C4520F" w:rsidRDefault="006E49D6" w:rsidP="006E49D6">
      <w:pPr>
        <w:tabs>
          <w:tab w:val="left" w:pos="1843"/>
        </w:tabs>
        <w:rPr>
          <w:rFonts w:ascii="Arial" w:hAnsi="Arial" w:cs="Arial"/>
        </w:rPr>
      </w:pPr>
    </w:p>
    <w:p w14:paraId="4CF3316B" w14:textId="77777777" w:rsidR="006E49D6" w:rsidRPr="00C4520F" w:rsidRDefault="006E49D6" w:rsidP="006E49D6">
      <w:pPr>
        <w:tabs>
          <w:tab w:val="left" w:pos="1843"/>
        </w:tabs>
        <w:rPr>
          <w:rFonts w:ascii="Arial" w:hAnsi="Arial" w:cs="Arial"/>
        </w:rPr>
      </w:pPr>
      <w:r w:rsidRPr="00C4520F">
        <w:rPr>
          <w:rFonts w:ascii="Arial" w:hAnsi="Arial" w:cs="Arial"/>
        </w:rPr>
        <w:t>Wardgroup will provide safe and healthy working conditions for its employees and will do all that is reasonably practicable to ensure that other contractors, occupants of buildings or the public are not adversely affected by our works.</w:t>
      </w:r>
    </w:p>
    <w:p w14:paraId="28BBAA3F" w14:textId="77777777" w:rsidR="006E49D6" w:rsidRPr="00C4520F" w:rsidRDefault="006E49D6" w:rsidP="006E49D6">
      <w:pPr>
        <w:tabs>
          <w:tab w:val="left" w:pos="1843"/>
        </w:tabs>
        <w:rPr>
          <w:rFonts w:ascii="Arial" w:hAnsi="Arial" w:cs="Arial"/>
        </w:rPr>
      </w:pPr>
    </w:p>
    <w:p w14:paraId="427EEB3C" w14:textId="77777777" w:rsidR="006E49D6" w:rsidRPr="00C4520F" w:rsidRDefault="006E49D6" w:rsidP="006E49D6">
      <w:pPr>
        <w:tabs>
          <w:tab w:val="left" w:pos="1843"/>
        </w:tabs>
        <w:rPr>
          <w:rFonts w:ascii="Arial" w:hAnsi="Arial" w:cs="Arial"/>
        </w:rPr>
      </w:pPr>
      <w:r w:rsidRPr="00C4520F">
        <w:rPr>
          <w:rFonts w:ascii="Arial" w:hAnsi="Arial" w:cs="Arial"/>
        </w:rPr>
        <w:t>Overall responsibility for health and safety throughout the group is assigned to the Managing Director, I.K. Noble.  He, in turn, delegates specific safety related activities to departmental managers and other individuals, as outlined in Section 2.0 of this policy which deals with ‘Organisation’.</w:t>
      </w:r>
    </w:p>
    <w:p w14:paraId="1A13270E" w14:textId="77777777" w:rsidR="006E49D6" w:rsidRPr="00C4520F" w:rsidRDefault="006E49D6" w:rsidP="006E49D6">
      <w:pPr>
        <w:tabs>
          <w:tab w:val="left" w:pos="1843"/>
        </w:tabs>
        <w:rPr>
          <w:rFonts w:ascii="Arial" w:hAnsi="Arial" w:cs="Arial"/>
        </w:rPr>
      </w:pPr>
    </w:p>
    <w:p w14:paraId="6BCDF7C9" w14:textId="77777777" w:rsidR="006E49D6" w:rsidRPr="00C4520F" w:rsidRDefault="006E49D6" w:rsidP="006E49D6">
      <w:pPr>
        <w:tabs>
          <w:tab w:val="left" w:pos="1843"/>
        </w:tabs>
        <w:rPr>
          <w:rFonts w:ascii="Arial" w:hAnsi="Arial" w:cs="Arial"/>
        </w:rPr>
      </w:pPr>
      <w:r w:rsidRPr="00C4520F">
        <w:rPr>
          <w:rFonts w:ascii="Arial" w:hAnsi="Arial" w:cs="Arial"/>
        </w:rPr>
        <w:t xml:space="preserve">Section 3.0 outlines </w:t>
      </w:r>
      <w:r>
        <w:rPr>
          <w:rFonts w:ascii="Arial" w:hAnsi="Arial" w:cs="Arial"/>
        </w:rPr>
        <w:t>the ‘Working Arrangements’ which</w:t>
      </w:r>
      <w:r w:rsidRPr="00C4520F">
        <w:rPr>
          <w:rFonts w:ascii="Arial" w:hAnsi="Arial" w:cs="Arial"/>
        </w:rPr>
        <w:t xml:space="preserve"> implement the health and safety policy.  Among the key issues covered are:</w:t>
      </w:r>
    </w:p>
    <w:p w14:paraId="57A7C098" w14:textId="77777777" w:rsidR="006E49D6" w:rsidRPr="00C4520F" w:rsidRDefault="006E49D6" w:rsidP="006E49D6">
      <w:pPr>
        <w:tabs>
          <w:tab w:val="left" w:pos="1843"/>
        </w:tabs>
        <w:rPr>
          <w:rFonts w:ascii="Arial" w:hAnsi="Arial" w:cs="Arial"/>
        </w:rPr>
      </w:pPr>
    </w:p>
    <w:p w14:paraId="59947AAF" w14:textId="77777777" w:rsidR="006E49D6" w:rsidRPr="00C4520F" w:rsidRDefault="006E49D6" w:rsidP="006E49D6">
      <w:pPr>
        <w:numPr>
          <w:ilvl w:val="0"/>
          <w:numId w:val="1"/>
        </w:numPr>
        <w:tabs>
          <w:tab w:val="left" w:pos="1843"/>
        </w:tabs>
        <w:ind w:left="1080" w:hanging="360"/>
        <w:rPr>
          <w:rFonts w:ascii="Arial" w:hAnsi="Arial" w:cs="Arial"/>
        </w:rPr>
      </w:pPr>
      <w:r w:rsidRPr="00C4520F">
        <w:rPr>
          <w:rFonts w:ascii="Arial" w:hAnsi="Arial" w:cs="Arial"/>
        </w:rPr>
        <w:t>a commitment to provide such information, instruction, supervision and training as is necessary to ensure that all persons are competent to carry out the duties asked of them.</w:t>
      </w:r>
    </w:p>
    <w:p w14:paraId="303361E5" w14:textId="77777777" w:rsidR="006E49D6" w:rsidRPr="00C4520F" w:rsidRDefault="006E49D6" w:rsidP="006E49D6">
      <w:pPr>
        <w:numPr>
          <w:ilvl w:val="0"/>
          <w:numId w:val="1"/>
        </w:numPr>
        <w:tabs>
          <w:tab w:val="left" w:pos="1843"/>
        </w:tabs>
        <w:ind w:left="1080" w:hanging="360"/>
        <w:rPr>
          <w:rFonts w:ascii="Arial" w:hAnsi="Arial" w:cs="Arial"/>
        </w:rPr>
      </w:pPr>
      <w:r w:rsidRPr="00C4520F">
        <w:rPr>
          <w:rFonts w:ascii="Arial" w:hAnsi="Arial" w:cs="Arial"/>
        </w:rPr>
        <w:t>the means of consultation with employees on health and safety matters.</w:t>
      </w:r>
    </w:p>
    <w:p w14:paraId="3E3F4B42" w14:textId="77777777" w:rsidR="006E49D6" w:rsidRPr="00C4520F" w:rsidRDefault="006E49D6" w:rsidP="006E49D6">
      <w:pPr>
        <w:numPr>
          <w:ilvl w:val="0"/>
          <w:numId w:val="1"/>
        </w:numPr>
        <w:tabs>
          <w:tab w:val="left" w:pos="1843"/>
        </w:tabs>
        <w:ind w:left="1080" w:hanging="360"/>
        <w:rPr>
          <w:rFonts w:ascii="Arial" w:hAnsi="Arial" w:cs="Arial"/>
        </w:rPr>
      </w:pPr>
      <w:r w:rsidRPr="00C4520F">
        <w:rPr>
          <w:rFonts w:ascii="Arial" w:hAnsi="Arial" w:cs="Arial"/>
        </w:rPr>
        <w:t>appropriate preventive and protective measures to be implemented following the identification of work related hazards and assessment of the risks associated with them.</w:t>
      </w:r>
    </w:p>
    <w:p w14:paraId="1D36FE3E" w14:textId="77777777" w:rsidR="006E49D6" w:rsidRPr="00C4520F" w:rsidRDefault="006E49D6" w:rsidP="006E49D6">
      <w:pPr>
        <w:tabs>
          <w:tab w:val="left" w:pos="1843"/>
        </w:tabs>
        <w:rPr>
          <w:rFonts w:ascii="Arial" w:hAnsi="Arial" w:cs="Arial"/>
        </w:rPr>
      </w:pPr>
    </w:p>
    <w:p w14:paraId="61C44D24" w14:textId="77777777" w:rsidR="006E49D6" w:rsidRPr="00C4520F" w:rsidRDefault="006E49D6" w:rsidP="006E49D6">
      <w:pPr>
        <w:tabs>
          <w:tab w:val="left" w:pos="1843"/>
        </w:tabs>
        <w:rPr>
          <w:rFonts w:ascii="Arial" w:hAnsi="Arial" w:cs="Arial"/>
        </w:rPr>
      </w:pPr>
      <w:r w:rsidRPr="00C4520F">
        <w:rPr>
          <w:rFonts w:ascii="Arial" w:hAnsi="Arial" w:cs="Arial"/>
        </w:rPr>
        <w:t>The contents and effectiveness of this policy will be reviewed on a regular basis</w:t>
      </w:r>
    </w:p>
    <w:p w14:paraId="42D035E5" w14:textId="77777777" w:rsidR="006E49D6" w:rsidRPr="00C4520F" w:rsidRDefault="006E49D6" w:rsidP="006E49D6">
      <w:pPr>
        <w:tabs>
          <w:tab w:val="left" w:pos="1843"/>
        </w:tabs>
        <w:rPr>
          <w:rFonts w:ascii="Arial" w:hAnsi="Arial" w:cs="Arial"/>
        </w:rPr>
      </w:pPr>
      <w:r w:rsidRPr="00C4520F">
        <w:rPr>
          <w:rFonts w:ascii="Arial" w:hAnsi="Arial" w:cs="Arial"/>
        </w:rPr>
        <w:t>(at least annually) to reflect changes in activities, organisation and statutory requirements.</w:t>
      </w:r>
    </w:p>
    <w:p w14:paraId="48B06789" w14:textId="77777777" w:rsidR="006E49D6" w:rsidRPr="00C4520F" w:rsidRDefault="006E49D6" w:rsidP="006E49D6">
      <w:pPr>
        <w:tabs>
          <w:tab w:val="left" w:pos="1843"/>
        </w:tabs>
        <w:rPr>
          <w:rFonts w:ascii="Arial" w:hAnsi="Arial" w:cs="Arial"/>
        </w:rPr>
      </w:pPr>
    </w:p>
    <w:p w14:paraId="3280C857" w14:textId="77777777" w:rsidR="006E49D6" w:rsidRDefault="006E49D6" w:rsidP="006E49D6">
      <w:pPr>
        <w:tabs>
          <w:tab w:val="left" w:pos="1843"/>
        </w:tabs>
        <w:rPr>
          <w:rFonts w:ascii="Arial" w:hAnsi="Arial" w:cs="Arial"/>
        </w:rPr>
      </w:pPr>
    </w:p>
    <w:p w14:paraId="119275B8" w14:textId="77777777" w:rsidR="006E49D6" w:rsidRDefault="006E49D6" w:rsidP="006E49D6">
      <w:pPr>
        <w:tabs>
          <w:tab w:val="left" w:pos="1843"/>
        </w:tabs>
        <w:rPr>
          <w:rFonts w:ascii="Arial" w:hAnsi="Arial" w:cs="Arial"/>
        </w:rPr>
      </w:pPr>
    </w:p>
    <w:p w14:paraId="3ABACB97" w14:textId="77777777" w:rsidR="006E49D6" w:rsidRPr="00C4520F" w:rsidRDefault="006E49D6" w:rsidP="006E49D6">
      <w:pPr>
        <w:tabs>
          <w:tab w:val="left" w:pos="1843"/>
        </w:tabs>
        <w:rPr>
          <w:rFonts w:ascii="Arial" w:hAnsi="Arial" w:cs="Arial"/>
        </w:rPr>
      </w:pPr>
    </w:p>
    <w:p w14:paraId="2B213F17" w14:textId="3CDCE17E" w:rsidR="006E49D6" w:rsidRPr="00C4520F" w:rsidRDefault="006E49D6" w:rsidP="006E49D6">
      <w:pPr>
        <w:tabs>
          <w:tab w:val="left" w:pos="1843"/>
        </w:tabs>
        <w:rPr>
          <w:rFonts w:ascii="Arial" w:hAnsi="Arial" w:cs="Arial"/>
        </w:rPr>
      </w:pPr>
      <w:r w:rsidRPr="00C4520F">
        <w:rPr>
          <w:rFonts w:ascii="Arial" w:hAnsi="Arial" w:cs="Arial"/>
        </w:rPr>
        <w:tab/>
      </w:r>
      <w:r w:rsidRPr="00C4520F">
        <w:rPr>
          <w:rFonts w:ascii="Arial" w:hAnsi="Arial" w:cs="Arial"/>
        </w:rPr>
        <w:tab/>
      </w:r>
      <w:r w:rsidRPr="00C4520F">
        <w:rPr>
          <w:rFonts w:ascii="Arial" w:hAnsi="Arial" w:cs="Arial"/>
        </w:rPr>
        <w:tab/>
        <w:t>Signed</w:t>
      </w:r>
      <w:r w:rsidR="00BD1BDA">
        <w:rPr>
          <w:rFonts w:ascii="Arial" w:hAnsi="Arial" w:cs="Arial"/>
        </w:rPr>
        <w:t xml:space="preserve">: </w:t>
      </w:r>
      <w:r w:rsidRPr="00C4520F">
        <w:rPr>
          <w:rFonts w:ascii="Arial" w:hAnsi="Arial" w:cs="Arial"/>
        </w:rPr>
        <w:t xml:space="preserve"> </w:t>
      </w:r>
      <w:r w:rsidR="00BD1BDA">
        <w:rPr>
          <w:noProof/>
        </w:rPr>
        <w:drawing>
          <wp:inline distT="0" distB="0" distL="0" distR="0" wp14:anchorId="755E660D" wp14:editId="54A394BB">
            <wp:extent cx="1114425" cy="792812"/>
            <wp:effectExtent l="0" t="0" r="0" b="7620"/>
            <wp:docPr id="1" name="Picture 1" descr="A picture containing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670" cy="795832"/>
                    </a:xfrm>
                    <a:prstGeom prst="rect">
                      <a:avLst/>
                    </a:prstGeom>
                    <a:noFill/>
                    <a:ln>
                      <a:noFill/>
                    </a:ln>
                  </pic:spPr>
                </pic:pic>
              </a:graphicData>
            </a:graphic>
          </wp:inline>
        </w:drawing>
      </w:r>
      <w:r w:rsidRPr="00C4520F">
        <w:rPr>
          <w:rFonts w:ascii="Arial" w:hAnsi="Arial" w:cs="Arial"/>
        </w:rPr>
        <w:t>Date</w:t>
      </w:r>
      <w:r w:rsidR="00BD1BDA">
        <w:rPr>
          <w:rFonts w:ascii="Arial" w:hAnsi="Arial" w:cs="Arial"/>
        </w:rPr>
        <w:t>:04.01.202</w:t>
      </w:r>
      <w:r w:rsidR="00C50782">
        <w:rPr>
          <w:rFonts w:ascii="Arial" w:hAnsi="Arial" w:cs="Arial"/>
        </w:rPr>
        <w:t>3</w:t>
      </w:r>
    </w:p>
    <w:p w14:paraId="357E2A07" w14:textId="77777777" w:rsidR="006E49D6" w:rsidRPr="00C4520F" w:rsidRDefault="006E49D6" w:rsidP="006E49D6">
      <w:pPr>
        <w:tabs>
          <w:tab w:val="left" w:pos="1843"/>
        </w:tabs>
        <w:rPr>
          <w:rFonts w:ascii="Arial" w:hAnsi="Arial" w:cs="Arial"/>
        </w:rPr>
      </w:pPr>
    </w:p>
    <w:p w14:paraId="441F0BC2" w14:textId="77777777" w:rsidR="006E49D6" w:rsidRPr="00C4520F" w:rsidRDefault="006E49D6" w:rsidP="006E49D6">
      <w:pPr>
        <w:tabs>
          <w:tab w:val="left" w:pos="1843"/>
        </w:tabs>
        <w:rPr>
          <w:sz w:val="24"/>
          <w:szCs w:val="24"/>
        </w:rPr>
      </w:pPr>
      <w:r w:rsidRPr="00C4520F">
        <w:rPr>
          <w:rFonts w:ascii="Arial" w:hAnsi="Arial" w:cs="Arial"/>
        </w:rPr>
        <w:tab/>
      </w:r>
      <w:r w:rsidRPr="00C4520F">
        <w:rPr>
          <w:rFonts w:ascii="Arial" w:hAnsi="Arial" w:cs="Arial"/>
        </w:rPr>
        <w:tab/>
      </w:r>
      <w:r w:rsidRPr="00C4520F">
        <w:rPr>
          <w:rFonts w:ascii="Arial" w:hAnsi="Arial" w:cs="Arial"/>
        </w:rPr>
        <w:tab/>
        <w:t>I K Noble, Managing Director</w:t>
      </w:r>
    </w:p>
    <w:p w14:paraId="7612FAAC" w14:textId="77777777" w:rsidR="006E49D6" w:rsidRPr="00C4520F" w:rsidRDefault="006E49D6" w:rsidP="006E49D6">
      <w:pPr>
        <w:rPr>
          <w:rFonts w:ascii="Arial" w:hAnsi="Arial" w:cs="Arial"/>
        </w:rPr>
      </w:pPr>
    </w:p>
    <w:p w14:paraId="51279996" w14:textId="77777777" w:rsidR="006E49D6" w:rsidRPr="00C4520F" w:rsidRDefault="006E49D6" w:rsidP="006E49D6">
      <w:pPr>
        <w:rPr>
          <w:rFonts w:ascii="Arial" w:hAnsi="Arial" w:cs="Arial"/>
        </w:rPr>
      </w:pPr>
    </w:p>
    <w:p w14:paraId="773BE821" w14:textId="77777777" w:rsidR="006E49D6" w:rsidRPr="00C4520F" w:rsidRDefault="006E49D6" w:rsidP="006E49D6">
      <w:pPr>
        <w:rPr>
          <w:rFonts w:ascii="Arial" w:hAnsi="Arial" w:cs="Arial"/>
        </w:rPr>
      </w:pPr>
    </w:p>
    <w:p w14:paraId="5045359F" w14:textId="77777777" w:rsidR="006E49D6" w:rsidRPr="00C4520F" w:rsidRDefault="006E49D6" w:rsidP="006E49D6">
      <w:pPr>
        <w:rPr>
          <w:rFonts w:ascii="Arial" w:hAnsi="Arial" w:cs="Arial"/>
        </w:rPr>
      </w:pPr>
    </w:p>
    <w:p w14:paraId="0A26E384" w14:textId="77777777" w:rsidR="00A72995" w:rsidRDefault="00A72995"/>
    <w:sectPr w:rsidR="00A72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2F2148E"/>
    <w:lvl w:ilvl="0">
      <w:numFmt w:val="decimal"/>
      <w:lvlText w:val="*"/>
      <w:lvlJc w:val="left"/>
    </w:lvl>
  </w:abstractNum>
  <w:num w:numId="1" w16cid:durableId="1939218963">
    <w:abstractNumId w:val="0"/>
    <w:lvlOverride w:ilvl="0">
      <w:lvl w:ilvl="0">
        <w:start w:val="1"/>
        <w:numFmt w:val="bullet"/>
        <w:lvlText w:val=""/>
        <w:legacy w:legacy="1" w:legacySpace="0" w:legacyIndent="283"/>
        <w:lvlJc w:val="left"/>
        <w:pPr>
          <w:ind w:left="1417" w:hanging="283"/>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9D6"/>
    <w:rsid w:val="00066EF0"/>
    <w:rsid w:val="00384C63"/>
    <w:rsid w:val="00531DE8"/>
    <w:rsid w:val="00553BD3"/>
    <w:rsid w:val="005A5C8E"/>
    <w:rsid w:val="006E49D6"/>
    <w:rsid w:val="00A05DE9"/>
    <w:rsid w:val="00A72995"/>
    <w:rsid w:val="00BD1BDA"/>
    <w:rsid w:val="00C50782"/>
    <w:rsid w:val="00E4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E6E2"/>
  <w15:docId w15:val="{503D3FF5-C1FF-49CE-B670-17358F74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D6"/>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49D6"/>
    <w:pPr>
      <w:tabs>
        <w:tab w:val="center" w:pos="4153"/>
        <w:tab w:val="right" w:pos="8306"/>
      </w:tabs>
    </w:pPr>
  </w:style>
  <w:style w:type="character" w:customStyle="1" w:styleId="HeaderChar">
    <w:name w:val="Header Char"/>
    <w:basedOn w:val="DefaultParagraphFont"/>
    <w:link w:val="Header"/>
    <w:uiPriority w:val="99"/>
    <w:rsid w:val="006E49D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E49D6"/>
    <w:rPr>
      <w:rFonts w:ascii="Tahoma" w:hAnsi="Tahoma" w:cs="Tahoma"/>
      <w:sz w:val="16"/>
      <w:szCs w:val="16"/>
    </w:rPr>
  </w:style>
  <w:style w:type="character" w:customStyle="1" w:styleId="BalloonTextChar">
    <w:name w:val="Balloon Text Char"/>
    <w:basedOn w:val="DefaultParagraphFont"/>
    <w:link w:val="BalloonText"/>
    <w:uiPriority w:val="99"/>
    <w:semiHidden/>
    <w:rsid w:val="006E49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Noble</dc:creator>
  <cp:lastModifiedBy>Ian Noble</cp:lastModifiedBy>
  <cp:revision>3</cp:revision>
  <dcterms:created xsi:type="dcterms:W3CDTF">2022-12-01T14:32:00Z</dcterms:created>
  <dcterms:modified xsi:type="dcterms:W3CDTF">2022-12-01T14:32:00Z</dcterms:modified>
</cp:coreProperties>
</file>